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3C" w:rsidRDefault="0052673C" w:rsidP="0052673C">
      <w:pPr>
        <w:jc w:val="center"/>
      </w:pPr>
      <w:r>
        <w:rPr>
          <w:b/>
        </w:rPr>
        <w:t>2020 YILI 2. DÖNEM CİHAZ ARTIRIMI KARARLARI</w:t>
      </w:r>
    </w:p>
    <w:p w:rsidR="0052673C" w:rsidRDefault="0052673C" w:rsidP="0052673C">
      <w:pPr>
        <w:autoSpaceDE w:val="0"/>
        <w:autoSpaceDN w:val="0"/>
        <w:adjustRightInd w:val="0"/>
        <w:jc w:val="both"/>
      </w:pPr>
    </w:p>
    <w:p w:rsidR="0052673C" w:rsidRPr="0052673C" w:rsidRDefault="00147B06" w:rsidP="0052673C">
      <w:pPr>
        <w:jc w:val="both"/>
        <w:rPr>
          <w:sz w:val="22"/>
          <w:szCs w:val="22"/>
          <w:lang w:val="en-US"/>
        </w:rPr>
      </w:pPr>
      <w:r>
        <w:rPr>
          <w:sz w:val="22"/>
          <w:szCs w:val="22"/>
        </w:rPr>
        <w:t xml:space="preserve">             07.01.2021</w:t>
      </w:r>
      <w:r w:rsidR="0052673C" w:rsidRPr="0052673C">
        <w:rPr>
          <w:sz w:val="22"/>
          <w:szCs w:val="22"/>
        </w:rPr>
        <w:t xml:space="preserve"> </w:t>
      </w:r>
      <w:r w:rsidR="0052673C" w:rsidRPr="0052673C">
        <w:rPr>
          <w:sz w:val="22"/>
          <w:szCs w:val="22"/>
          <w:lang w:val="en-US"/>
        </w:rPr>
        <w:t xml:space="preserve">tarihinde düzenlenen </w:t>
      </w:r>
      <w:r w:rsidR="0052673C" w:rsidRPr="0052673C">
        <w:rPr>
          <w:sz w:val="22"/>
          <w:szCs w:val="22"/>
        </w:rPr>
        <w:t xml:space="preserve">Diyaliz Hizmetleri İzlem, Denetim ve Değerlendirme Komisyonu </w:t>
      </w:r>
      <w:r w:rsidR="0052673C" w:rsidRPr="0052673C">
        <w:rPr>
          <w:sz w:val="22"/>
          <w:szCs w:val="22"/>
          <w:lang w:val="en-US"/>
        </w:rPr>
        <w:t>toplantısında aşağıdaki konular değerlendirilmiştir.</w:t>
      </w:r>
    </w:p>
    <w:p w:rsidR="0052673C" w:rsidRPr="0052673C" w:rsidRDefault="0052673C" w:rsidP="0052673C">
      <w:pPr>
        <w:autoSpaceDE w:val="0"/>
        <w:autoSpaceDN w:val="0"/>
        <w:adjustRightInd w:val="0"/>
        <w:ind w:firstLine="708"/>
        <w:jc w:val="both"/>
        <w:rPr>
          <w:sz w:val="22"/>
          <w:szCs w:val="22"/>
        </w:rPr>
      </w:pPr>
      <w:r w:rsidRPr="0052673C">
        <w:rPr>
          <w:sz w:val="22"/>
          <w:szCs w:val="22"/>
        </w:rPr>
        <w:t xml:space="preserve">1- Diyaliz Merkezleri Hakkında Yönetmeliğin 15. Maddesi hükümleri doğrultusunda Bakanlığımız resmi internet sitesinde yayınlanan 30.05.2018 tarih ve E.2238 sayılı makam onayı ile uygun bulunan yeni Diyaliz Hizmet Bölgelerine göre 2020 Yılı 2. Altı aylık (Temmuz-Aralık) ilimiz geneli hedef doluluk oranları (Hbs (-) hastanın/ Hbs (-) cihaza oranı) hesaplamasında; </w:t>
      </w:r>
    </w:p>
    <w:p w:rsidR="0052673C" w:rsidRPr="0052673C" w:rsidRDefault="0052673C" w:rsidP="0052673C">
      <w:pPr>
        <w:autoSpaceDE w:val="0"/>
        <w:autoSpaceDN w:val="0"/>
        <w:adjustRightInd w:val="0"/>
        <w:ind w:firstLine="708"/>
        <w:jc w:val="both"/>
        <w:rPr>
          <w:sz w:val="22"/>
          <w:szCs w:val="22"/>
        </w:rPr>
      </w:pPr>
      <w:r w:rsidRPr="0052673C">
        <w:rPr>
          <w:bCs/>
          <w:sz w:val="22"/>
          <w:szCs w:val="22"/>
        </w:rPr>
        <w:t xml:space="preserve">Sero-negatif hasta sayıları ve </w:t>
      </w:r>
      <w:r w:rsidRPr="0052673C">
        <w:rPr>
          <w:sz w:val="22"/>
          <w:szCs w:val="22"/>
        </w:rPr>
        <w:t>sero-negatif cihaz sayıları Transplantasyon, Diyaliz ve İzlem Sistemleri (TDİS)  verilerine göre belirlenmiş olup, hesaplamaya hepatitli hastalar ve bunlar için kullanılan cihazlar, hastanelerin rutin hemodiyaliz hizmeti dışındaki acil hizmetler için kullandıkları cihazlar ve 25 cihaz sayısının altında olan diyaliz eğitim merkez</w:t>
      </w:r>
      <w:r w:rsidR="00AB1762">
        <w:rPr>
          <w:sz w:val="22"/>
          <w:szCs w:val="22"/>
        </w:rPr>
        <w:t xml:space="preserve">leri ve Diyaliz Merkezleri Hakkında Yönetmelik 9. Maddesi 6. Fıkrası hükümleri doğrultusunda faaliyet gösteren 10 Cihazın altındaki diyaliz ünitelerinin </w:t>
      </w:r>
      <w:bookmarkStart w:id="0" w:name="_GoBack"/>
      <w:bookmarkEnd w:id="0"/>
      <w:r w:rsidRPr="0052673C">
        <w:rPr>
          <w:sz w:val="22"/>
          <w:szCs w:val="22"/>
        </w:rPr>
        <w:t xml:space="preserve">verileri dahil edilmemiştir.  </w:t>
      </w:r>
    </w:p>
    <w:p w:rsidR="0052673C" w:rsidRDefault="0052673C" w:rsidP="0052673C">
      <w:pPr>
        <w:autoSpaceDE w:val="0"/>
        <w:autoSpaceDN w:val="0"/>
        <w:adjustRightInd w:val="0"/>
        <w:ind w:firstLine="708"/>
        <w:jc w:val="both"/>
        <w:rPr>
          <w:sz w:val="22"/>
          <w:szCs w:val="22"/>
        </w:rPr>
      </w:pPr>
      <w:r w:rsidRPr="0052673C">
        <w:rPr>
          <w:sz w:val="22"/>
          <w:szCs w:val="22"/>
        </w:rPr>
        <w:t>Buna göre; İlimizde faaliyet gösteren Diyaliz Merkezlerinin 2020 Yılı 2. Altı aylık (Temmuz-Aralık)  verilerine göre Hbs (-) hastanın/ Hbs (-) cihaza oranı aşağıda olduğu şekilde belirlenmiştir.</w:t>
      </w:r>
    </w:p>
    <w:p w:rsidR="0052673C" w:rsidRPr="0052673C" w:rsidRDefault="0052673C" w:rsidP="0052673C">
      <w:pPr>
        <w:autoSpaceDE w:val="0"/>
        <w:autoSpaceDN w:val="0"/>
        <w:adjustRightInd w:val="0"/>
        <w:ind w:firstLine="708"/>
        <w:jc w:val="both"/>
        <w:rPr>
          <w:sz w:val="22"/>
          <w:szCs w:val="22"/>
        </w:rPr>
      </w:pPr>
    </w:p>
    <w:tbl>
      <w:tblPr>
        <w:tblStyle w:val="TabloKlavuzu"/>
        <w:tblW w:w="10173" w:type="dxa"/>
        <w:tblLook w:val="04A0" w:firstRow="1" w:lastRow="0" w:firstColumn="1" w:lastColumn="0" w:noHBand="0" w:noVBand="1"/>
      </w:tblPr>
      <w:tblGrid>
        <w:gridCol w:w="1101"/>
        <w:gridCol w:w="1417"/>
        <w:gridCol w:w="1418"/>
        <w:gridCol w:w="1842"/>
        <w:gridCol w:w="4395"/>
      </w:tblGrid>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b/>
                <w:sz w:val="22"/>
                <w:szCs w:val="22"/>
                <w:lang w:eastAsia="en-US"/>
              </w:rPr>
            </w:pPr>
            <w:r w:rsidRPr="0052673C">
              <w:rPr>
                <w:b/>
                <w:sz w:val="22"/>
                <w:szCs w:val="22"/>
                <w:lang w:eastAsia="en-US"/>
              </w:rPr>
              <w:t>Bölge No</w:t>
            </w:r>
          </w:p>
        </w:tc>
        <w:tc>
          <w:tcPr>
            <w:tcW w:w="1417"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b/>
                <w:sz w:val="22"/>
                <w:szCs w:val="22"/>
                <w:lang w:eastAsia="en-US"/>
              </w:rPr>
            </w:pPr>
            <w:r w:rsidRPr="0052673C">
              <w:rPr>
                <w:b/>
                <w:sz w:val="22"/>
                <w:szCs w:val="22"/>
                <w:lang w:eastAsia="en-US"/>
              </w:rPr>
              <w:t>Sero(-) Hasta Sayısı</w:t>
            </w:r>
          </w:p>
        </w:tc>
        <w:tc>
          <w:tcPr>
            <w:tcW w:w="1418"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b/>
                <w:sz w:val="22"/>
                <w:szCs w:val="22"/>
                <w:lang w:eastAsia="en-US"/>
              </w:rPr>
            </w:pPr>
            <w:r w:rsidRPr="0052673C">
              <w:rPr>
                <w:b/>
                <w:sz w:val="22"/>
                <w:szCs w:val="22"/>
                <w:lang w:eastAsia="en-US"/>
              </w:rPr>
              <w:t>Sero(-) Cihaz Sayısı</w:t>
            </w:r>
          </w:p>
        </w:tc>
        <w:tc>
          <w:tcPr>
            <w:tcW w:w="1842"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b/>
                <w:sz w:val="22"/>
                <w:szCs w:val="22"/>
                <w:lang w:eastAsia="en-US"/>
              </w:rPr>
            </w:pPr>
            <w:r w:rsidRPr="0052673C">
              <w:rPr>
                <w:b/>
                <w:sz w:val="22"/>
                <w:szCs w:val="22"/>
                <w:lang w:eastAsia="en-US"/>
              </w:rPr>
              <w:t>Sero (-) Hasta/Sero (-) Cihaz/Oranı</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b/>
                <w:sz w:val="22"/>
                <w:szCs w:val="22"/>
                <w:lang w:eastAsia="en-US"/>
              </w:rPr>
            </w:pPr>
            <w:r w:rsidRPr="0052673C">
              <w:rPr>
                <w:b/>
                <w:sz w:val="22"/>
                <w:szCs w:val="22"/>
                <w:lang w:eastAsia="en-US"/>
              </w:rPr>
              <w:t>Artırılacak Cihaz Sayısı</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1.Bölge</w:t>
            </w:r>
          </w:p>
        </w:tc>
        <w:tc>
          <w:tcPr>
            <w:tcW w:w="1417"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3495</w:t>
            </w:r>
          </w:p>
        </w:tc>
        <w:tc>
          <w:tcPr>
            <w:tcW w:w="1418"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942</w:t>
            </w:r>
          </w:p>
        </w:tc>
        <w:tc>
          <w:tcPr>
            <w:tcW w:w="1842"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rPr>
              <w:t>3.71</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YOK</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2.Bölge</w:t>
            </w:r>
          </w:p>
        </w:tc>
        <w:tc>
          <w:tcPr>
            <w:tcW w:w="1417"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22</w:t>
            </w:r>
          </w:p>
        </w:tc>
        <w:tc>
          <w:tcPr>
            <w:tcW w:w="1418"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11</w:t>
            </w:r>
          </w:p>
        </w:tc>
        <w:tc>
          <w:tcPr>
            <w:tcW w:w="1842"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2.00</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YOK</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3.Bölge</w:t>
            </w:r>
          </w:p>
        </w:tc>
        <w:tc>
          <w:tcPr>
            <w:tcW w:w="1417"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tabs>
                <w:tab w:val="center" w:pos="865"/>
              </w:tabs>
              <w:autoSpaceDE w:val="0"/>
              <w:autoSpaceDN w:val="0"/>
              <w:adjustRightInd w:val="0"/>
              <w:rPr>
                <w:sz w:val="22"/>
                <w:szCs w:val="22"/>
                <w:lang w:eastAsia="en-US"/>
              </w:rPr>
            </w:pPr>
            <w:r w:rsidRPr="0052673C">
              <w:rPr>
                <w:sz w:val="22"/>
                <w:szCs w:val="22"/>
                <w:lang w:eastAsia="en-US"/>
              </w:rPr>
              <w:t>31</w:t>
            </w:r>
          </w:p>
        </w:tc>
        <w:tc>
          <w:tcPr>
            <w:tcW w:w="1418"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3.10</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YOK</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4.Bölge</w:t>
            </w:r>
          </w:p>
        </w:tc>
        <w:tc>
          <w:tcPr>
            <w:tcW w:w="1417"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76</w:t>
            </w:r>
          </w:p>
        </w:tc>
        <w:tc>
          <w:tcPr>
            <w:tcW w:w="1418"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23</w:t>
            </w:r>
          </w:p>
        </w:tc>
        <w:tc>
          <w:tcPr>
            <w:tcW w:w="1842"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3.30</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YOK</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5.Bölge</w:t>
            </w:r>
          </w:p>
        </w:tc>
        <w:tc>
          <w:tcPr>
            <w:tcW w:w="1417"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MUAF</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6.Bölge</w:t>
            </w:r>
          </w:p>
        </w:tc>
        <w:tc>
          <w:tcPr>
            <w:tcW w:w="1417"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35</w:t>
            </w:r>
          </w:p>
        </w:tc>
        <w:tc>
          <w:tcPr>
            <w:tcW w:w="1418"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19</w:t>
            </w:r>
          </w:p>
        </w:tc>
        <w:tc>
          <w:tcPr>
            <w:tcW w:w="1842" w:type="dxa"/>
            <w:tcBorders>
              <w:top w:val="single" w:sz="4" w:space="0" w:color="auto"/>
              <w:left w:val="single" w:sz="4" w:space="0" w:color="auto"/>
              <w:bottom w:val="single" w:sz="4" w:space="0" w:color="auto"/>
              <w:right w:val="single" w:sz="4" w:space="0" w:color="auto"/>
            </w:tcBorders>
          </w:tcPr>
          <w:p w:rsidR="0052673C" w:rsidRPr="0052673C" w:rsidRDefault="0052673C" w:rsidP="00E27AC0">
            <w:pPr>
              <w:autoSpaceDE w:val="0"/>
              <w:autoSpaceDN w:val="0"/>
              <w:adjustRightInd w:val="0"/>
              <w:rPr>
                <w:sz w:val="22"/>
                <w:szCs w:val="22"/>
                <w:lang w:eastAsia="en-US"/>
              </w:rPr>
            </w:pPr>
            <w:r w:rsidRPr="0052673C">
              <w:rPr>
                <w:sz w:val="22"/>
                <w:szCs w:val="22"/>
                <w:lang w:eastAsia="en-US"/>
              </w:rPr>
              <w:t>1.84</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YOK</w:t>
            </w:r>
          </w:p>
        </w:tc>
      </w:tr>
      <w:tr w:rsidR="0052673C" w:rsidRPr="0052673C" w:rsidTr="00E27AC0">
        <w:tc>
          <w:tcPr>
            <w:tcW w:w="1101"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7.Bölge</w:t>
            </w:r>
          </w:p>
        </w:tc>
        <w:tc>
          <w:tcPr>
            <w:tcW w:w="1417"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autoSpaceDE w:val="0"/>
              <w:autoSpaceDN w:val="0"/>
              <w:adjustRightInd w:val="0"/>
              <w:rPr>
                <w:sz w:val="22"/>
                <w:szCs w:val="22"/>
                <w:lang w:eastAsia="en-US"/>
              </w:rPr>
            </w:pPr>
            <w:r w:rsidRPr="0052673C">
              <w:rPr>
                <w:sz w:val="22"/>
                <w:szCs w:val="22"/>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52673C" w:rsidRPr="0052673C" w:rsidRDefault="0052673C" w:rsidP="00E27AC0">
            <w:pPr>
              <w:rPr>
                <w:sz w:val="22"/>
                <w:szCs w:val="22"/>
                <w:lang w:eastAsia="en-US"/>
              </w:rPr>
            </w:pPr>
            <w:r w:rsidRPr="0052673C">
              <w:rPr>
                <w:sz w:val="22"/>
                <w:szCs w:val="22"/>
                <w:lang w:eastAsia="en-US"/>
              </w:rPr>
              <w:t>MUAF</w:t>
            </w:r>
          </w:p>
        </w:tc>
      </w:tr>
    </w:tbl>
    <w:p w:rsidR="0052673C" w:rsidRPr="0052673C" w:rsidRDefault="0052673C" w:rsidP="0052673C">
      <w:pPr>
        <w:autoSpaceDE w:val="0"/>
        <w:autoSpaceDN w:val="0"/>
        <w:adjustRightInd w:val="0"/>
        <w:ind w:left="284"/>
        <w:rPr>
          <w:sz w:val="22"/>
          <w:szCs w:val="22"/>
        </w:rPr>
      </w:pP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Bölge:</w:t>
      </w:r>
      <w:r w:rsidRPr="0052673C">
        <w:rPr>
          <w:sz w:val="22"/>
          <w:szCs w:val="22"/>
        </w:rPr>
        <w:t xml:space="preserve"> Altındağ, Çankaya, Keçiören, Mamak, Yenimahalle, Sincan, Etimesgut, Gölbaşı, Bala, Pursaklar, Kahramankazan</w:t>
      </w: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 xml:space="preserve">Bölge: </w:t>
      </w:r>
      <w:r w:rsidRPr="0052673C">
        <w:rPr>
          <w:sz w:val="22"/>
          <w:szCs w:val="22"/>
        </w:rPr>
        <w:t>Beypazarı, Güdül, Ayaş</w:t>
      </w: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Bölge</w:t>
      </w:r>
      <w:r w:rsidRPr="0052673C">
        <w:rPr>
          <w:sz w:val="22"/>
          <w:szCs w:val="22"/>
        </w:rPr>
        <w:t>: Çamlıdere, Kızılcahamam</w:t>
      </w: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Bölge</w:t>
      </w:r>
      <w:r w:rsidRPr="0052673C">
        <w:rPr>
          <w:sz w:val="22"/>
          <w:szCs w:val="22"/>
        </w:rPr>
        <w:t>: Çubuk, Kalecik, Akyurt, Elmadağ</w:t>
      </w: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Bölge:</w:t>
      </w:r>
      <w:r w:rsidRPr="0052673C">
        <w:rPr>
          <w:sz w:val="22"/>
          <w:szCs w:val="22"/>
        </w:rPr>
        <w:t xml:space="preserve"> Evren, Şereflikoçhisar</w:t>
      </w:r>
    </w:p>
    <w:p w:rsidR="0052673C" w:rsidRPr="0052673C" w:rsidRDefault="0052673C" w:rsidP="0052673C">
      <w:pPr>
        <w:pStyle w:val="ListeParagraf"/>
        <w:numPr>
          <w:ilvl w:val="0"/>
          <w:numId w:val="3"/>
        </w:numPr>
        <w:autoSpaceDE w:val="0"/>
        <w:autoSpaceDN w:val="0"/>
        <w:adjustRightInd w:val="0"/>
        <w:rPr>
          <w:sz w:val="22"/>
          <w:szCs w:val="22"/>
        </w:rPr>
      </w:pPr>
      <w:r w:rsidRPr="0052673C">
        <w:rPr>
          <w:b/>
          <w:sz w:val="22"/>
          <w:szCs w:val="22"/>
        </w:rPr>
        <w:t>Bölge:</w:t>
      </w:r>
      <w:r w:rsidRPr="0052673C">
        <w:rPr>
          <w:sz w:val="22"/>
          <w:szCs w:val="22"/>
        </w:rPr>
        <w:t xml:space="preserve"> Polatlı, Haymana</w:t>
      </w:r>
    </w:p>
    <w:p w:rsidR="0052673C" w:rsidRPr="0052673C" w:rsidRDefault="0052673C" w:rsidP="00E269FE">
      <w:pPr>
        <w:pStyle w:val="ListeParagraf"/>
        <w:numPr>
          <w:ilvl w:val="0"/>
          <w:numId w:val="3"/>
        </w:numPr>
        <w:autoSpaceDE w:val="0"/>
        <w:autoSpaceDN w:val="0"/>
        <w:adjustRightInd w:val="0"/>
        <w:rPr>
          <w:b/>
          <w:sz w:val="22"/>
          <w:szCs w:val="22"/>
        </w:rPr>
      </w:pPr>
      <w:r w:rsidRPr="0052673C">
        <w:rPr>
          <w:b/>
          <w:sz w:val="22"/>
          <w:szCs w:val="22"/>
        </w:rPr>
        <w:t>Bölge:</w:t>
      </w:r>
      <w:r w:rsidRPr="0052673C">
        <w:rPr>
          <w:sz w:val="22"/>
          <w:szCs w:val="22"/>
        </w:rPr>
        <w:t xml:space="preserve"> Nallıhan </w:t>
      </w:r>
    </w:p>
    <w:p w:rsidR="0052673C" w:rsidRPr="0052673C" w:rsidRDefault="0052673C" w:rsidP="0052673C">
      <w:pPr>
        <w:autoSpaceDE w:val="0"/>
        <w:autoSpaceDN w:val="0"/>
        <w:adjustRightInd w:val="0"/>
        <w:rPr>
          <w:b/>
          <w:sz w:val="22"/>
          <w:szCs w:val="22"/>
        </w:rPr>
      </w:pPr>
    </w:p>
    <w:p w:rsidR="0052673C" w:rsidRPr="0052673C" w:rsidRDefault="0052673C" w:rsidP="0052673C">
      <w:pPr>
        <w:autoSpaceDE w:val="0"/>
        <w:autoSpaceDN w:val="0"/>
        <w:adjustRightInd w:val="0"/>
        <w:rPr>
          <w:b/>
          <w:sz w:val="22"/>
          <w:szCs w:val="22"/>
        </w:rPr>
      </w:pPr>
      <w:r w:rsidRPr="0052673C">
        <w:rPr>
          <w:b/>
          <w:sz w:val="22"/>
          <w:szCs w:val="22"/>
        </w:rPr>
        <w:t>Yukarıda Bulunan Bölgelerin Verilerine Göre;</w:t>
      </w:r>
    </w:p>
    <w:p w:rsidR="0052673C" w:rsidRPr="0052673C" w:rsidRDefault="0052673C" w:rsidP="0052673C">
      <w:pPr>
        <w:autoSpaceDE w:val="0"/>
        <w:autoSpaceDN w:val="0"/>
        <w:adjustRightInd w:val="0"/>
        <w:rPr>
          <w:b/>
          <w:sz w:val="22"/>
          <w:szCs w:val="22"/>
        </w:rPr>
      </w:pP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3,71 olduğundan cihaz artırımı yapılamayacağı,</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2,00 olduğundan cihaz artırımı yapılamıyacağı,</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3,10 olduğundan cihaz artırımı yapılamayacağı</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3,30 olduğundan cihaz artırımı yapılamayacağı</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planlamadan muaf olduğundan hesaplamaya dahil edilmeyeceğine,</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1,84 olduğundan cihaz artırımı yapılamayacağı,</w:t>
      </w:r>
    </w:p>
    <w:p w:rsidR="0052673C" w:rsidRPr="0052673C" w:rsidRDefault="0052673C" w:rsidP="0052673C">
      <w:pPr>
        <w:pStyle w:val="ListeParagraf"/>
        <w:numPr>
          <w:ilvl w:val="0"/>
          <w:numId w:val="4"/>
        </w:numPr>
        <w:autoSpaceDE w:val="0"/>
        <w:autoSpaceDN w:val="0"/>
        <w:adjustRightInd w:val="0"/>
        <w:jc w:val="both"/>
        <w:rPr>
          <w:sz w:val="22"/>
          <w:szCs w:val="22"/>
        </w:rPr>
      </w:pPr>
      <w:r w:rsidRPr="0052673C">
        <w:rPr>
          <w:b/>
          <w:sz w:val="22"/>
          <w:szCs w:val="22"/>
        </w:rPr>
        <w:t>Bölge:</w:t>
      </w:r>
      <w:r w:rsidRPr="0052673C">
        <w:rPr>
          <w:sz w:val="22"/>
          <w:szCs w:val="22"/>
        </w:rPr>
        <w:t>Hbs(-) hastanın / Hbs(-) cihaza oranı planlamadan muaf olduğundan hesaplamaya dahil edilmeyeceğine karar verilmiştir.</w:t>
      </w:r>
    </w:p>
    <w:p w:rsidR="00A84BC8" w:rsidRPr="0052673C" w:rsidRDefault="00A84BC8" w:rsidP="0052673C">
      <w:pPr>
        <w:autoSpaceDE w:val="0"/>
        <w:autoSpaceDN w:val="0"/>
        <w:adjustRightInd w:val="0"/>
        <w:ind w:firstLine="708"/>
        <w:jc w:val="both"/>
        <w:rPr>
          <w:sz w:val="22"/>
          <w:szCs w:val="22"/>
        </w:rPr>
      </w:pPr>
    </w:p>
    <w:sectPr w:rsidR="00A84BC8" w:rsidRPr="00526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57" w:rsidRDefault="00B55C57" w:rsidP="0052673C">
      <w:r>
        <w:separator/>
      </w:r>
    </w:p>
  </w:endnote>
  <w:endnote w:type="continuationSeparator" w:id="0">
    <w:p w:rsidR="00B55C57" w:rsidRDefault="00B55C57" w:rsidP="0052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57" w:rsidRDefault="00B55C57" w:rsidP="0052673C">
      <w:r>
        <w:separator/>
      </w:r>
    </w:p>
  </w:footnote>
  <w:footnote w:type="continuationSeparator" w:id="0">
    <w:p w:rsidR="00B55C57" w:rsidRDefault="00B55C57" w:rsidP="0052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B86"/>
    <w:multiLevelType w:val="hybridMultilevel"/>
    <w:tmpl w:val="0290C1BE"/>
    <w:lvl w:ilvl="0" w:tplc="925C566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BA67C8"/>
    <w:multiLevelType w:val="hybridMultilevel"/>
    <w:tmpl w:val="6A4AEF6C"/>
    <w:lvl w:ilvl="0" w:tplc="964434C2">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3C"/>
    <w:rsid w:val="00147B06"/>
    <w:rsid w:val="0052673C"/>
    <w:rsid w:val="00A84BC8"/>
    <w:rsid w:val="00AB1762"/>
    <w:rsid w:val="00B55C57"/>
    <w:rsid w:val="00C577FE"/>
    <w:rsid w:val="00D32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AE33A-D247-4A55-983C-B3834170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673C"/>
    <w:pPr>
      <w:ind w:left="720"/>
      <w:contextualSpacing/>
    </w:pPr>
  </w:style>
  <w:style w:type="table" w:styleId="TabloKlavuzu">
    <w:name w:val="Table Grid"/>
    <w:basedOn w:val="NormalTablo"/>
    <w:uiPriority w:val="59"/>
    <w:rsid w:val="00526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2673C"/>
    <w:pPr>
      <w:tabs>
        <w:tab w:val="center" w:pos="4536"/>
        <w:tab w:val="right" w:pos="9072"/>
      </w:tabs>
    </w:pPr>
  </w:style>
  <w:style w:type="character" w:customStyle="1" w:styleId="stbilgiChar">
    <w:name w:val="Üstbilgi Char"/>
    <w:basedOn w:val="VarsaylanParagrafYazTipi"/>
    <w:link w:val="stbilgi"/>
    <w:uiPriority w:val="99"/>
    <w:rsid w:val="0052673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2673C"/>
    <w:pPr>
      <w:tabs>
        <w:tab w:val="center" w:pos="4536"/>
        <w:tab w:val="right" w:pos="9072"/>
      </w:tabs>
    </w:pPr>
  </w:style>
  <w:style w:type="character" w:customStyle="1" w:styleId="AltbilgiChar">
    <w:name w:val="Altbilgi Char"/>
    <w:basedOn w:val="VarsaylanParagrafYazTipi"/>
    <w:link w:val="Altbilgi"/>
    <w:uiPriority w:val="99"/>
    <w:rsid w:val="0052673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sonay.buyukates</dc:creator>
  <cp:keywords/>
  <dc:description/>
  <cp:lastModifiedBy>sonay.buyukates</cp:lastModifiedBy>
  <cp:revision>3</cp:revision>
  <dcterms:created xsi:type="dcterms:W3CDTF">2021-01-11T06:55:00Z</dcterms:created>
  <dcterms:modified xsi:type="dcterms:W3CDTF">2021-01-11T07:27:00Z</dcterms:modified>
</cp:coreProperties>
</file>